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sidR="003B4CE0">
        <w:fldChar w:fldCharType="begin"/>
      </w:r>
      <w:r w:rsidR="003B4CE0">
        <w:instrText xml:space="preserve"> DOCPROPERTY  TSG/WGRef  \* MERGEFORMAT </w:instrText>
      </w:r>
      <w:r w:rsidR="003B4CE0">
        <w:fldChar w:fldCharType="separate"/>
      </w:r>
      <w:r>
        <w:rPr>
          <w:b/>
          <w:noProof/>
          <w:sz w:val="24"/>
        </w:rPr>
        <w:t>WG SA2</w:t>
      </w:r>
      <w:r w:rsidR="003B4CE0">
        <w:rPr>
          <w:b/>
          <w:noProof/>
          <w:sz w:val="24"/>
        </w:rPr>
        <w:fldChar w:fldCharType="end"/>
      </w:r>
      <w:r>
        <w:rPr>
          <w:b/>
          <w:noProof/>
          <w:sz w:val="24"/>
        </w:rPr>
        <w:t xml:space="preserve"> Meeting #</w:t>
      </w:r>
      <w:r w:rsidR="003B4CE0">
        <w:fldChar w:fldCharType="begin"/>
      </w:r>
      <w:r w:rsidR="003B4CE0">
        <w:instrText xml:space="preserve"> DOCPROPERTY  MtgSeq  \* MERGEFORMAT </w:instrText>
      </w:r>
      <w:r w:rsidR="003B4CE0">
        <w:fldChar w:fldCharType="separate"/>
      </w:r>
      <w:r>
        <w:rPr>
          <w:b/>
          <w:noProof/>
          <w:sz w:val="24"/>
        </w:rPr>
        <w:t>1</w:t>
      </w:r>
      <w:r w:rsidR="001431FF">
        <w:rPr>
          <w:b/>
          <w:noProof/>
          <w:sz w:val="24"/>
        </w:rPr>
        <w:t>4</w:t>
      </w:r>
      <w:r w:rsidR="004B6384">
        <w:rPr>
          <w:b/>
          <w:noProof/>
          <w:sz w:val="24"/>
        </w:rPr>
        <w:t>7</w:t>
      </w:r>
      <w:r w:rsidR="00A25CC3">
        <w:rPr>
          <w:b/>
          <w:noProof/>
          <w:sz w:val="24"/>
        </w:rPr>
        <w:t xml:space="preserve">E e-meeting </w:t>
      </w:r>
      <w:r w:rsidR="003B4CE0">
        <w:rPr>
          <w:b/>
          <w:noProof/>
          <w:sz w:val="24"/>
        </w:rPr>
        <w:fldChar w:fldCharType="end"/>
      </w:r>
      <w:r w:rsidR="003B4CE0">
        <w:fldChar w:fldCharType="begin"/>
      </w:r>
      <w:r w:rsidR="003B4CE0">
        <w:instrText xml:space="preserve"> DOCPROPERTY  MtgTitle  \* MERGEFORMAT </w:instrText>
      </w:r>
      <w:r w:rsidR="003B4CE0">
        <w:fldChar w:fldCharType="separate"/>
      </w:r>
      <w:r w:rsidR="00514818">
        <w:rPr>
          <w:b/>
          <w:noProof/>
          <w:sz w:val="24"/>
        </w:rPr>
        <w:t xml:space="preserve"> </w:t>
      </w:r>
      <w:r w:rsidR="003B4CE0">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3F1B">
        <w:rPr>
          <w:b/>
          <w:i/>
          <w:noProof/>
          <w:sz w:val="28"/>
        </w:rPr>
        <w:t>7554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B6384">
        <w:rPr>
          <w:rFonts w:hint="eastAsia"/>
          <w:b/>
          <w:noProof/>
          <w:sz w:val="24"/>
          <w:lang w:eastAsia="zh-CN"/>
        </w:rPr>
        <w:t>Oct</w:t>
      </w:r>
      <w:r w:rsidR="004B6384">
        <w:rPr>
          <w:b/>
          <w:noProof/>
          <w:sz w:val="24"/>
        </w:rPr>
        <w:t xml:space="preserve"> 18</w:t>
      </w:r>
      <w:r w:rsidR="00AA5DE5">
        <w:rPr>
          <w:b/>
          <w:noProof/>
          <w:sz w:val="24"/>
        </w:rPr>
        <w:t xml:space="preserve"> </w:t>
      </w:r>
      <w:r w:rsidR="00514818">
        <w:rPr>
          <w:b/>
          <w:noProof/>
          <w:sz w:val="24"/>
        </w:rPr>
        <w:t>–</w:t>
      </w:r>
      <w:r w:rsidR="004A6302">
        <w:rPr>
          <w:b/>
          <w:noProof/>
          <w:sz w:val="24"/>
        </w:rPr>
        <w:t xml:space="preserve"> </w:t>
      </w:r>
      <w:r w:rsidR="004B6384">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3F1B" w:rsidP="00873033">
            <w:pPr>
              <w:pStyle w:val="CRCoverPage"/>
              <w:spacing w:after="0"/>
              <w:jc w:val="center"/>
              <w:rPr>
                <w:noProof/>
              </w:rPr>
            </w:pPr>
            <w:r w:rsidRPr="00543F1B">
              <w:rPr>
                <w:b/>
                <w:noProof/>
                <w:sz w:val="28"/>
              </w:rPr>
              <w:t>3316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7451" w:rsidP="006D18D3">
            <w:pPr>
              <w:pStyle w:val="CRCoverPage"/>
              <w:spacing w:after="0"/>
              <w:jc w:val="center"/>
              <w:rPr>
                <w:b/>
                <w:noProof/>
              </w:rPr>
            </w:pPr>
            <w:r w:rsidRPr="00F67451">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724D" w:rsidP="001E41F3">
            <w:pPr>
              <w:pStyle w:val="CRCoverPage"/>
              <w:spacing w:after="0"/>
              <w:jc w:val="center"/>
              <w:rPr>
                <w:b/>
                <w:caps/>
                <w:noProof/>
              </w:rPr>
            </w:pPr>
            <w:r w:rsidRPr="00564A4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24D">
            <w:pPr>
              <w:pStyle w:val="CRCoverPage"/>
              <w:spacing w:after="0"/>
              <w:ind w:left="100"/>
              <w:rPr>
                <w:noProof/>
              </w:rPr>
            </w:pPr>
            <w:r w:rsidRPr="006B724D">
              <w:t>eDRX enhancement for 10.24s cycle for RedCap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4CE0" w:rsidP="00547111">
            <w:pPr>
              <w:pStyle w:val="CRCoverPage"/>
              <w:spacing w:after="0"/>
              <w:ind w:left="10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42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RedCap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handling of eDRX cycle 10.24s for the UE that support both RedCap (without PTW/PH) and WB-E-UTRAN (with PTW/PH) needs to be considered.</w:t>
            </w:r>
            <w:r w:rsidRPr="002B1C91">
              <w:rPr>
                <w:noProof/>
              </w:rPr>
              <w:t xml:space="preserve"> </w:t>
            </w:r>
          </w:p>
          <w:p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r w:rsidR="00413CDD" w:rsidRPr="002B1C91">
              <w:rPr>
                <w:noProof/>
              </w:rPr>
              <w:t xml:space="preserve"> RedCap</w:t>
            </w:r>
            <w:r w:rsidRPr="002B1C91">
              <w:rPr>
                <w:noProof/>
              </w:rPr>
              <w:t>:</w:t>
            </w:r>
          </w:p>
          <w:p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rsidR="002C0B48" w:rsidRPr="002B1C91" w:rsidRDefault="002C0B48" w:rsidP="0057738C">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and the TAI list of the UE includes both WB-E-UTRA and RedCap,</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 RedCap RAN node)</w:t>
            </w:r>
            <w:r w:rsidR="006B724D" w:rsidRPr="002B1C9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B1C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B1C91" w:rsidRDefault="002D7688" w:rsidP="00413CDD">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3"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the UE that support both RedCap and WB-E-UTRAN</w:t>
            </w:r>
            <w:bookmarkEnd w:id="3"/>
            <w:r w:rsidR="0064747A" w:rsidRPr="002B1C9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B1C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B1C91" w:rsidRDefault="0064747A" w:rsidP="0057738C">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10.24s for the UE that support both RedCap and WB-E-UTRAN.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B48">
            <w:pPr>
              <w:pStyle w:val="CRCoverPage"/>
              <w:spacing w:after="0"/>
              <w:ind w:left="100"/>
              <w:rPr>
                <w:noProof/>
              </w:rPr>
            </w:pPr>
            <w:r>
              <w:rPr>
                <w:noProof/>
              </w:rPr>
              <w:t xml:space="preserve">5.31.7.2.1, </w:t>
            </w:r>
            <w:r w:rsidR="006D23C9">
              <w:rPr>
                <w:noProof/>
              </w:rPr>
              <w:t>5.31.7.2.2.3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13CDD" w:rsidRDefault="00413CDD" w:rsidP="00413CDD">
      <w:pPr>
        <w:pStyle w:val="5"/>
      </w:pPr>
      <w:bookmarkStart w:id="5" w:name="_Toc83302064"/>
      <w:bookmarkStart w:id="6" w:name="_Toc51769491"/>
      <w:bookmarkStart w:id="7" w:name="_Toc47342789"/>
      <w:bookmarkStart w:id="8" w:name="_Toc45183947"/>
      <w:bookmarkStart w:id="9" w:name="_Toc36188042"/>
      <w:bookmarkStart w:id="10" w:name="_Toc27846911"/>
      <w:bookmarkStart w:id="11" w:name="_Toc20150111"/>
      <w:bookmarkEnd w:id="4"/>
      <w:r>
        <w:t>5.31.7.2.1</w:t>
      </w:r>
      <w:r>
        <w:tab/>
        <w:t>Overview</w:t>
      </w:r>
      <w:bookmarkEnd w:id="5"/>
      <w:bookmarkEnd w:id="6"/>
      <w:bookmarkEnd w:id="7"/>
      <w:bookmarkEnd w:id="8"/>
      <w:bookmarkEnd w:id="9"/>
      <w:bookmarkEnd w:id="10"/>
      <w:bookmarkEnd w:id="11"/>
    </w:p>
    <w:p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rsidR="00413CDD" w:rsidRDefault="00413CDD" w:rsidP="00413CDD">
      <w:r>
        <w:t>The negotiation of the eDRX parameters for NR, WB-E-UTRA and LTE-M is supported over any RAT.</w:t>
      </w:r>
    </w:p>
    <w:p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413CDD" w:rsidRDefault="00413CDD" w:rsidP="00413CDD">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413CDD" w:rsidRDefault="00413CDD" w:rsidP="00413CDD">
      <w:r>
        <w:t>UE and NW negotiate the use of extended idle mode DRX as follows:</w:t>
      </w:r>
    </w:p>
    <w:p w:rsidR="00413CDD" w:rsidRDefault="00413CDD" w:rsidP="00413CDD">
      <w:pPr>
        <w:pStyle w:val="B1"/>
      </w:pPr>
      <w:r>
        <w:tab/>
        <w:t>If the UE decides to request for extended idle mode DRX, the UE includes an extended idle mode DRX parameters information element in the Registration Request message.</w:t>
      </w:r>
      <w:ins w:id="12" w:author="cmcc" w:date="2021-10-11T18:29:00Z">
        <w:r w:rsidR="000538AF" w:rsidRPr="000538AF">
          <w:t xml:space="preserve"> </w:t>
        </w:r>
        <w:r w:rsidR="000538AF">
          <w:t>The UE may also indicate whether it support both WB-E-UTRA and NR RedCap or not.</w:t>
        </w:r>
      </w:ins>
      <w:r w:rsidR="009D5CC9">
        <w:rPr>
          <w:rFonts w:hint="eastAsia"/>
          <w:lang w:eastAsia="zh-CN"/>
        </w:rPr>
        <w:t xml:space="preserve"> </w:t>
      </w:r>
      <w:r>
        <w:t>The UE may also include the UE specific DRX parameters information element for regular idle mode DRX according to clause 5.4.5. The extended DRX parameters information element includes the extended idle mode DRX cycle length.</w:t>
      </w:r>
    </w:p>
    <w:p w:rsidR="00F92C5F" w:rsidRDefault="00413CDD" w:rsidP="00F92C5F">
      <w:pPr>
        <w:pStyle w:val="B1"/>
        <w:rPr>
          <w:lang w:eastAsia="zh-CN"/>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13" w:author="cmcc" w:date="2021-10-11T18:32:00Z">
        <w:r w:rsidR="000538AF">
          <w:t>For extended DRX length of 10.24s, the AMF provides Paging Time Window to the UE that indicated support of both WB-E-UTRA and NR RedCap, or doesn’t provide the Paging Time Window to the UE that indicated only support of NR RedCap.</w:t>
        </w:r>
      </w:ins>
    </w:p>
    <w:p w:rsidR="00413CDD" w:rsidRDefault="00413CDD" w:rsidP="009D5CC9">
      <w:pPr>
        <w:pStyle w:val="B1"/>
        <w:ind w:firstLine="0"/>
      </w:pPr>
      <w:r>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rsidR="00413CDD" w:rsidRDefault="00413CDD" w:rsidP="00413CDD">
      <w:pPr>
        <w:pStyle w:val="NO"/>
      </w:pPr>
      <w:r>
        <w:t>NOTE 2:</w:t>
      </w:r>
      <w:r>
        <w:tab/>
        <w:t>A broadcast indicator for support of extended idle mode DRX is not needed for NB-IoT as it is always supported in NB-IoT.</w:t>
      </w:r>
    </w:p>
    <w:p w:rsidR="00413CDD" w:rsidRDefault="00413CDD" w:rsidP="00413CDD">
      <w:r>
        <w:t>The specific negotiation procedure handling is described in TS 23.502 [3].</w:t>
      </w:r>
    </w:p>
    <w:p w:rsidR="00413CDD" w:rsidRDefault="00413CDD" w:rsidP="00413CDD">
      <w:pPr>
        <w:pStyle w:val="NO"/>
      </w:pPr>
      <w:r>
        <w:t>NOTE 3:</w:t>
      </w:r>
      <w:r>
        <w:tab/>
        <w:t>If the Periodic Registration Update timer assigned to the UE is not longer than the extended idle mode DRX cycle the power savings are not maximised.</w:t>
      </w:r>
    </w:p>
    <w:p w:rsidR="00413CDD" w:rsidRDefault="00413CDD" w:rsidP="00413CDD">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rsidR="00413CDD" w:rsidRDefault="00413CDD" w:rsidP="00413CDD">
      <w:r>
        <w:t>If eDRX cycle is applied in RRC-INACTIVE, the RAN buffers DL packets up to the duration of the eDRX cycle chosen by NG-RAN.</w:t>
      </w:r>
    </w:p>
    <w:p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540DFB" w:rsidRDefault="00540DFB" w:rsidP="00540DFB">
      <w:pPr>
        <w:pStyle w:val="H6"/>
      </w:pPr>
      <w:r>
        <w:t>5.31.7.2.2.3</w:t>
      </w:r>
      <w:r>
        <w:tab/>
        <w:t>AMF paging and paging retransmission strategy</w:t>
      </w:r>
    </w:p>
    <w:p w:rsidR="00540DFB" w:rsidRDefault="00540DFB" w:rsidP="00540DFB">
      <w:pPr>
        <w:pStyle w:val="NO"/>
      </w:pPr>
      <w:r>
        <w:t>NOTE:</w:t>
      </w:r>
      <w:r>
        <w:tab/>
        <w:t>This clause applies for extended DRX cycle lengths of 10.24s or longer.</w:t>
      </w:r>
    </w:p>
    <w:p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rsidR="00540DFB" w:rsidRDefault="00540DFB" w:rsidP="00E32339">
      <w:pPr>
        <w:rPr>
          <w:lang w:eastAsia="zh-CN"/>
        </w:rPr>
      </w:pPr>
      <w:r>
        <w:t>The AMF determines the Paging Time Window length and a paging retransmission strategy, and executes the retransmission scheme.</w:t>
      </w:r>
    </w:p>
    <w:p w:rsidR="000538AF" w:rsidRDefault="000538AF" w:rsidP="000538AF">
      <w:pPr>
        <w:rPr>
          <w:ins w:id="14" w:author="cmcc" w:date="2021-10-11T18:33:00Z"/>
          <w:lang w:eastAsia="zh-CN"/>
        </w:rPr>
      </w:pPr>
      <w:ins w:id="15" w:author="cmcc" w:date="2021-10-11T18:33:00Z">
        <w:r>
          <w:rPr>
            <w:lang w:eastAsia="zh-CN"/>
          </w:rPr>
          <w:t xml:space="preserve">For extended DRX length of 10.24s and the UE that indicated only support of NR RedCap, the AMF shall not include the Paging Time Window length to the NG-RAN in the paging request. </w:t>
        </w:r>
      </w:ins>
    </w:p>
    <w:p w:rsidR="00F92C5F" w:rsidRPr="00F92C5F" w:rsidRDefault="000538AF" w:rsidP="00E32339">
      <w:pPr>
        <w:rPr>
          <w:lang w:eastAsia="zh-CN"/>
        </w:rPr>
      </w:pPr>
      <w:ins w:id="16" w:author="cmcc" w:date="2021-10-11T18:33:00Z">
        <w:r>
          <w:rPr>
            <w:lang w:eastAsia="zh-CN"/>
          </w:rPr>
          <w:t>For extended DRX length of 10.24s and the UE that indicated support of both WB-E-UTRA and NR RedCap, the AMF decides whether include the Paging Time Window length to the NG-RAN in the paging request based on the supported RAT of the NG-RAN (e.g. based on the received RAT Information in NG SETUP REQUEST message from the NG-RAN ), that is, including Paging Time Window length to the NG-RANs that support WB-E-UTRA, or not including Paging Time Window length to the NG-RANs that support NR RedCap.</w:t>
        </w:r>
      </w:ins>
    </w:p>
    <w:p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CE0" w:rsidRDefault="003B4CE0">
      <w:r>
        <w:separator/>
      </w:r>
    </w:p>
  </w:endnote>
  <w:endnote w:type="continuationSeparator" w:id="0">
    <w:p w:rsidR="003B4CE0" w:rsidRDefault="003B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CE0" w:rsidRDefault="003B4CE0">
      <w:r>
        <w:separator/>
      </w:r>
    </w:p>
  </w:footnote>
  <w:footnote w:type="continuationSeparator" w:id="0">
    <w:p w:rsidR="003B4CE0" w:rsidRDefault="003B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6C8"/>
    <w:rsid w:val="00022E4A"/>
    <w:rsid w:val="0002610C"/>
    <w:rsid w:val="00026470"/>
    <w:rsid w:val="0005071C"/>
    <w:rsid w:val="000538AF"/>
    <w:rsid w:val="00062070"/>
    <w:rsid w:val="00076524"/>
    <w:rsid w:val="00086F9A"/>
    <w:rsid w:val="000A046B"/>
    <w:rsid w:val="000A1041"/>
    <w:rsid w:val="000A6394"/>
    <w:rsid w:val="000B7FED"/>
    <w:rsid w:val="000C038A"/>
    <w:rsid w:val="000C0F9C"/>
    <w:rsid w:val="000C6598"/>
    <w:rsid w:val="000E268E"/>
    <w:rsid w:val="000E31D5"/>
    <w:rsid w:val="00103DA9"/>
    <w:rsid w:val="00112077"/>
    <w:rsid w:val="00132940"/>
    <w:rsid w:val="001375D4"/>
    <w:rsid w:val="001431FF"/>
    <w:rsid w:val="00145D43"/>
    <w:rsid w:val="00171B70"/>
    <w:rsid w:val="001804E7"/>
    <w:rsid w:val="00192C46"/>
    <w:rsid w:val="001A08B3"/>
    <w:rsid w:val="001A7B60"/>
    <w:rsid w:val="001B52F0"/>
    <w:rsid w:val="001B7A65"/>
    <w:rsid w:val="001E005B"/>
    <w:rsid w:val="001E41F3"/>
    <w:rsid w:val="002104F0"/>
    <w:rsid w:val="00216DB2"/>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71E62"/>
    <w:rsid w:val="00374DD4"/>
    <w:rsid w:val="003808E9"/>
    <w:rsid w:val="00385A11"/>
    <w:rsid w:val="00386DEC"/>
    <w:rsid w:val="00392484"/>
    <w:rsid w:val="00395733"/>
    <w:rsid w:val="003968D8"/>
    <w:rsid w:val="003A4720"/>
    <w:rsid w:val="003B40E1"/>
    <w:rsid w:val="003B4CE0"/>
    <w:rsid w:val="003B6147"/>
    <w:rsid w:val="003E1A36"/>
    <w:rsid w:val="003E5AFC"/>
    <w:rsid w:val="003E7D28"/>
    <w:rsid w:val="0040761D"/>
    <w:rsid w:val="00410371"/>
    <w:rsid w:val="00413CDD"/>
    <w:rsid w:val="004242F1"/>
    <w:rsid w:val="004401BC"/>
    <w:rsid w:val="0045154C"/>
    <w:rsid w:val="00452FDC"/>
    <w:rsid w:val="0047578B"/>
    <w:rsid w:val="004758BB"/>
    <w:rsid w:val="004A1F9C"/>
    <w:rsid w:val="004A6302"/>
    <w:rsid w:val="004B6384"/>
    <w:rsid w:val="004B75B7"/>
    <w:rsid w:val="0050073C"/>
    <w:rsid w:val="00504314"/>
    <w:rsid w:val="00514818"/>
    <w:rsid w:val="0051580D"/>
    <w:rsid w:val="00515A8F"/>
    <w:rsid w:val="00524056"/>
    <w:rsid w:val="00537FB7"/>
    <w:rsid w:val="00540DFB"/>
    <w:rsid w:val="00543F1B"/>
    <w:rsid w:val="00547111"/>
    <w:rsid w:val="00550422"/>
    <w:rsid w:val="005602A4"/>
    <w:rsid w:val="00564A41"/>
    <w:rsid w:val="00566C94"/>
    <w:rsid w:val="0057738C"/>
    <w:rsid w:val="0059060C"/>
    <w:rsid w:val="00592D74"/>
    <w:rsid w:val="005A6E8C"/>
    <w:rsid w:val="005B3945"/>
    <w:rsid w:val="005E2C44"/>
    <w:rsid w:val="005E65C0"/>
    <w:rsid w:val="005F4DAC"/>
    <w:rsid w:val="00602583"/>
    <w:rsid w:val="00610DDA"/>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388D"/>
    <w:rsid w:val="00706BCA"/>
    <w:rsid w:val="00722A76"/>
    <w:rsid w:val="00735297"/>
    <w:rsid w:val="00745433"/>
    <w:rsid w:val="007475F0"/>
    <w:rsid w:val="00752763"/>
    <w:rsid w:val="00763E1E"/>
    <w:rsid w:val="00771068"/>
    <w:rsid w:val="00775ACB"/>
    <w:rsid w:val="00792342"/>
    <w:rsid w:val="00793EC4"/>
    <w:rsid w:val="007977A8"/>
    <w:rsid w:val="007A5814"/>
    <w:rsid w:val="007B512A"/>
    <w:rsid w:val="007C2097"/>
    <w:rsid w:val="007D5352"/>
    <w:rsid w:val="007D6A07"/>
    <w:rsid w:val="007E417D"/>
    <w:rsid w:val="007E73CB"/>
    <w:rsid w:val="007F2012"/>
    <w:rsid w:val="007F7259"/>
    <w:rsid w:val="0080161F"/>
    <w:rsid w:val="008040A8"/>
    <w:rsid w:val="00810612"/>
    <w:rsid w:val="008279FA"/>
    <w:rsid w:val="00854C04"/>
    <w:rsid w:val="0086104B"/>
    <w:rsid w:val="008626E7"/>
    <w:rsid w:val="00870EE7"/>
    <w:rsid w:val="00873033"/>
    <w:rsid w:val="0087737C"/>
    <w:rsid w:val="0088145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F734F"/>
    <w:rsid w:val="00A246B6"/>
    <w:rsid w:val="00A25CC3"/>
    <w:rsid w:val="00A263D1"/>
    <w:rsid w:val="00A44F58"/>
    <w:rsid w:val="00A47E70"/>
    <w:rsid w:val="00A50CF0"/>
    <w:rsid w:val="00A542FF"/>
    <w:rsid w:val="00A60FE7"/>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D01F77"/>
    <w:rsid w:val="00D03F9A"/>
    <w:rsid w:val="00D06D51"/>
    <w:rsid w:val="00D10AA8"/>
    <w:rsid w:val="00D14B77"/>
    <w:rsid w:val="00D15E43"/>
    <w:rsid w:val="00D23592"/>
    <w:rsid w:val="00D24991"/>
    <w:rsid w:val="00D34D8A"/>
    <w:rsid w:val="00D50255"/>
    <w:rsid w:val="00D5459E"/>
    <w:rsid w:val="00D64B4E"/>
    <w:rsid w:val="00D66520"/>
    <w:rsid w:val="00D66AE8"/>
    <w:rsid w:val="00D80A47"/>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64447"/>
    <w:rsid w:val="00E82D4D"/>
    <w:rsid w:val="00EA154E"/>
    <w:rsid w:val="00EB09B7"/>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2A9CA"/>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ad">
    <w:name w:val="批注文字 字符"/>
    <w:basedOn w:val="a0"/>
    <w:link w:val="ac"/>
    <w:semiHidden/>
    <w:rsid w:val="00F92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ACB0-215E-4AC7-A73D-11DC8B52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32</cp:revision>
  <cp:lastPrinted>1899-12-31T23:00:00Z</cp:lastPrinted>
  <dcterms:created xsi:type="dcterms:W3CDTF">2021-08-06T07:59:00Z</dcterms:created>
  <dcterms:modified xsi:type="dcterms:W3CDTF">2021-10-11T11:30:00Z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ies>
</file>